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689" w:rsidRPr="00F64499" w:rsidRDefault="00AF3999" w:rsidP="00AF3999">
      <w:pPr>
        <w:pStyle w:val="Documentname"/>
        <w:rPr>
          <w:lang w:val="en-US"/>
        </w:rPr>
      </w:pPr>
      <w:r w:rsidRPr="00F64499">
        <w:rPr>
          <w:lang w:val="en-US"/>
        </w:rPr>
        <w:fldChar w:fldCharType="begin"/>
      </w:r>
      <w:r w:rsidR="002669C6" w:rsidRPr="00F64499">
        <w:rPr>
          <w:lang w:val="en-US"/>
        </w:rPr>
        <w:instrText xml:space="preserve"> DOCVARIABLE Name_of_strategic_map_13c0cd5d </w:instrText>
      </w:r>
      <w:r w:rsidR="008E0085">
        <w:rPr>
          <w:lang w:val="en-US"/>
        </w:rPr>
        <w:fldChar w:fldCharType="separate"/>
      </w:r>
      <w:r w:rsidR="00CD6B54">
        <w:rPr>
          <w:lang w:val="en-US"/>
        </w:rPr>
        <w:t>Organizational strategy map</w:t>
      </w:r>
      <w:r w:rsidRPr="00F64499">
        <w:rPr>
          <w:lang w:val="en-US"/>
        </w:rPr>
        <w:fldChar w:fldCharType="end"/>
      </w:r>
    </w:p>
    <w:p w:rsidR="00FE3B40" w:rsidRPr="00F64499" w:rsidRDefault="00A76EC0" w:rsidP="00FE3B40">
      <w:pPr>
        <w:pStyle w:val="Documenttype"/>
        <w:rPr>
          <w:lang w:val="en-US"/>
        </w:rPr>
      </w:pPr>
      <w:r w:rsidRPr="00F64499">
        <w:rPr>
          <w:lang w:val="en-US"/>
        </w:rPr>
        <w:t>Strategy Map</w:t>
      </w:r>
    </w:p>
    <w:p w:rsidR="007A48C8" w:rsidRPr="00F64499" w:rsidRDefault="00A76EC0" w:rsidP="00FA74FF">
      <w:pPr>
        <w:pStyle w:val="Heading4"/>
        <w:rPr>
          <w:lang w:val="en-US"/>
        </w:rPr>
      </w:pPr>
      <w:bookmarkStart w:id="0" w:name="S_Balanced_Scorecard_d36bb157"/>
      <w:r w:rsidRPr="00F64499">
        <w:rPr>
          <w:lang w:val="en-US"/>
        </w:rPr>
        <w:t>Balanced Scorecard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901"/>
        <w:gridCol w:w="2824"/>
        <w:gridCol w:w="3117"/>
        <w:gridCol w:w="1246"/>
        <w:gridCol w:w="1424"/>
        <w:gridCol w:w="1192"/>
        <w:gridCol w:w="2912"/>
      </w:tblGrid>
      <w:tr w:rsidR="006759D1" w:rsidRPr="00F64499" w:rsidTr="00280C98">
        <w:trPr>
          <w:tblHeader/>
        </w:trPr>
        <w:tc>
          <w:tcPr>
            <w:tcW w:w="166" w:type="pct"/>
            <w:vMerge w:val="restart"/>
            <w:shd w:val="clear" w:color="auto" w:fill="CCCCCC"/>
            <w:vAlign w:val="center"/>
          </w:tcPr>
          <w:p w:rsidR="006759D1" w:rsidRPr="00F64499" w:rsidRDefault="00A76EC0" w:rsidP="00CA019A">
            <w:pPr>
              <w:pStyle w:val="Tableheader"/>
              <w:keepNext/>
              <w:rPr>
                <w:lang w:val="en-US"/>
              </w:rPr>
            </w:pPr>
            <w:r w:rsidRPr="00F64499">
              <w:rPr>
                <w:lang w:val="en-US"/>
              </w:rPr>
              <w:t>No.</w:t>
            </w:r>
          </w:p>
        </w:tc>
        <w:tc>
          <w:tcPr>
            <w:tcW w:w="629" w:type="pct"/>
            <w:vMerge w:val="restart"/>
            <w:shd w:val="clear" w:color="auto" w:fill="CCCCCC"/>
            <w:vAlign w:val="center"/>
          </w:tcPr>
          <w:p w:rsidR="006759D1" w:rsidRPr="00F64499" w:rsidRDefault="00A76EC0" w:rsidP="00CA019A">
            <w:pPr>
              <w:pStyle w:val="Tableheader"/>
              <w:keepNext/>
              <w:rPr>
                <w:lang w:val="en-US"/>
              </w:rPr>
            </w:pPr>
            <w:r w:rsidRPr="00F64499">
              <w:rPr>
                <w:lang w:val="en-US"/>
              </w:rPr>
              <w:t>Perspective</w:t>
            </w:r>
          </w:p>
        </w:tc>
        <w:tc>
          <w:tcPr>
            <w:tcW w:w="934" w:type="pct"/>
            <w:vMerge w:val="restart"/>
            <w:shd w:val="clear" w:color="auto" w:fill="CCCCCC"/>
            <w:vAlign w:val="center"/>
          </w:tcPr>
          <w:p w:rsidR="006759D1" w:rsidRPr="00F64499" w:rsidRDefault="00A76EC0" w:rsidP="00CA019A">
            <w:pPr>
              <w:pStyle w:val="Tableheader"/>
              <w:keepNext/>
              <w:rPr>
                <w:lang w:val="en-US"/>
              </w:rPr>
            </w:pPr>
            <w:r w:rsidRPr="00F64499">
              <w:rPr>
                <w:lang w:val="en-US"/>
              </w:rPr>
              <w:t>Objective</w:t>
            </w:r>
          </w:p>
        </w:tc>
        <w:tc>
          <w:tcPr>
            <w:tcW w:w="2308" w:type="pct"/>
            <w:gridSpan w:val="4"/>
            <w:shd w:val="clear" w:color="auto" w:fill="CCCCCC"/>
            <w:vAlign w:val="center"/>
          </w:tcPr>
          <w:p w:rsidR="006759D1" w:rsidRPr="00F64499" w:rsidRDefault="00A76EC0" w:rsidP="00CA019A">
            <w:pPr>
              <w:pStyle w:val="Tableheader"/>
              <w:keepNext/>
              <w:rPr>
                <w:lang w:val="en-US"/>
              </w:rPr>
            </w:pPr>
            <w:r w:rsidRPr="00F64499">
              <w:rPr>
                <w:lang w:val="en-US"/>
              </w:rPr>
              <w:t>Measures</w:t>
            </w:r>
          </w:p>
        </w:tc>
        <w:tc>
          <w:tcPr>
            <w:tcW w:w="963" w:type="pct"/>
            <w:vMerge w:val="restart"/>
            <w:shd w:val="clear" w:color="auto" w:fill="CCCCCC"/>
            <w:vAlign w:val="center"/>
          </w:tcPr>
          <w:p w:rsidR="006759D1" w:rsidRPr="00F64499" w:rsidRDefault="00A76EC0" w:rsidP="00A76EC0">
            <w:pPr>
              <w:pStyle w:val="Tableheader"/>
              <w:keepNext/>
              <w:rPr>
                <w:lang w:val="en-US"/>
              </w:rPr>
            </w:pPr>
            <w:r w:rsidRPr="00F64499">
              <w:rPr>
                <w:lang w:val="en-US"/>
              </w:rPr>
              <w:t>Actions Aimed at Achieving Objective</w:t>
            </w:r>
          </w:p>
        </w:tc>
      </w:tr>
      <w:tr w:rsidR="006759D1" w:rsidRPr="00F64499" w:rsidTr="00280C98">
        <w:trPr>
          <w:tblHeader/>
        </w:trPr>
        <w:tc>
          <w:tcPr>
            <w:tcW w:w="166" w:type="pct"/>
            <w:vMerge/>
            <w:shd w:val="clear" w:color="auto" w:fill="CCCCCC"/>
            <w:vAlign w:val="center"/>
          </w:tcPr>
          <w:p w:rsidR="006759D1" w:rsidRPr="00F64499" w:rsidRDefault="006759D1" w:rsidP="00251F37">
            <w:pPr>
              <w:pStyle w:val="Tableheader"/>
              <w:rPr>
                <w:lang w:val="en-US"/>
              </w:rPr>
            </w:pPr>
          </w:p>
        </w:tc>
        <w:tc>
          <w:tcPr>
            <w:tcW w:w="629" w:type="pct"/>
            <w:vMerge/>
            <w:shd w:val="clear" w:color="auto" w:fill="CCCCCC"/>
            <w:vAlign w:val="center"/>
          </w:tcPr>
          <w:p w:rsidR="006759D1" w:rsidRPr="00F64499" w:rsidRDefault="006759D1" w:rsidP="00251F37">
            <w:pPr>
              <w:pStyle w:val="Tableheader"/>
              <w:rPr>
                <w:lang w:val="en-US"/>
              </w:rPr>
            </w:pPr>
          </w:p>
        </w:tc>
        <w:tc>
          <w:tcPr>
            <w:tcW w:w="934" w:type="pct"/>
            <w:vMerge/>
            <w:shd w:val="clear" w:color="auto" w:fill="CCCCCC"/>
            <w:vAlign w:val="center"/>
          </w:tcPr>
          <w:p w:rsidR="006759D1" w:rsidRPr="00F64499" w:rsidRDefault="006759D1" w:rsidP="00251F37">
            <w:pPr>
              <w:pStyle w:val="Tableheader"/>
              <w:rPr>
                <w:lang w:val="en-US"/>
              </w:rPr>
            </w:pPr>
          </w:p>
        </w:tc>
        <w:tc>
          <w:tcPr>
            <w:tcW w:w="1031" w:type="pct"/>
            <w:shd w:val="clear" w:color="auto" w:fill="CCCCCC"/>
            <w:vAlign w:val="center"/>
          </w:tcPr>
          <w:p w:rsidR="006759D1" w:rsidRPr="00F64499" w:rsidRDefault="00A76EC0" w:rsidP="00CA019A">
            <w:pPr>
              <w:pStyle w:val="Tableheader"/>
              <w:keepNext/>
              <w:rPr>
                <w:lang w:val="en-US"/>
              </w:rPr>
            </w:pPr>
            <w:r w:rsidRPr="00F64499">
              <w:rPr>
                <w:lang w:val="en-US"/>
              </w:rPr>
              <w:t>Name</w:t>
            </w:r>
          </w:p>
        </w:tc>
        <w:tc>
          <w:tcPr>
            <w:tcW w:w="412" w:type="pct"/>
            <w:shd w:val="clear" w:color="auto" w:fill="CCCCCC"/>
            <w:vAlign w:val="center"/>
          </w:tcPr>
          <w:p w:rsidR="006759D1" w:rsidRPr="00F64499" w:rsidRDefault="00A76EC0" w:rsidP="00CA019A">
            <w:pPr>
              <w:pStyle w:val="Tableheader"/>
              <w:keepNext/>
              <w:rPr>
                <w:lang w:val="en-US"/>
              </w:rPr>
            </w:pPr>
            <w:r w:rsidRPr="00F64499">
              <w:rPr>
                <w:lang w:val="en-US"/>
              </w:rPr>
              <w:t>Unit</w:t>
            </w:r>
          </w:p>
        </w:tc>
        <w:tc>
          <w:tcPr>
            <w:tcW w:w="471" w:type="pct"/>
            <w:shd w:val="clear" w:color="auto" w:fill="CCCCCC"/>
            <w:vAlign w:val="center"/>
          </w:tcPr>
          <w:p w:rsidR="006759D1" w:rsidRPr="00F64499" w:rsidRDefault="00A76EC0" w:rsidP="00CA019A">
            <w:pPr>
              <w:pStyle w:val="Tableheader"/>
              <w:keepNext/>
              <w:rPr>
                <w:lang w:val="en-US"/>
              </w:rPr>
            </w:pPr>
            <w:r w:rsidRPr="00F64499">
              <w:rPr>
                <w:lang w:val="en-US"/>
              </w:rPr>
              <w:t>Target Value</w:t>
            </w:r>
          </w:p>
        </w:tc>
        <w:tc>
          <w:tcPr>
            <w:tcW w:w="394" w:type="pct"/>
            <w:shd w:val="clear" w:color="auto" w:fill="CCCCCC"/>
            <w:vAlign w:val="center"/>
          </w:tcPr>
          <w:p w:rsidR="006759D1" w:rsidRPr="00F64499" w:rsidRDefault="00A76EC0" w:rsidP="00CA019A">
            <w:pPr>
              <w:pStyle w:val="Tableheader"/>
              <w:keepNext/>
              <w:rPr>
                <w:lang w:val="en-US"/>
              </w:rPr>
            </w:pPr>
            <w:r w:rsidRPr="00F64499">
              <w:rPr>
                <w:lang w:val="en-US"/>
              </w:rPr>
              <w:t>Target Date</w:t>
            </w:r>
          </w:p>
        </w:tc>
        <w:tc>
          <w:tcPr>
            <w:tcW w:w="963" w:type="pct"/>
            <w:vMerge/>
            <w:shd w:val="clear" w:color="auto" w:fill="CCCCCC"/>
            <w:vAlign w:val="center"/>
          </w:tcPr>
          <w:p w:rsidR="006759D1" w:rsidRPr="00F64499" w:rsidRDefault="006759D1" w:rsidP="00251F37">
            <w:pPr>
              <w:pStyle w:val="Tableheader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</w:t>
            </w:r>
          </w:p>
        </w:tc>
        <w:tc>
          <w:tcPr>
            <w:tcW w:w="629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Financial perspective</w:t>
            </w:r>
          </w:p>
        </w:tc>
        <w:tc>
          <w:tcPr>
            <w:tcW w:w="934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Increase the number of customers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Number of customers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600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 w:val="restar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Number of customers attracted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Cut costs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Inventory costs (% of total costs)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20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Increase profitability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Profit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TEUR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3</w:t>
            </w:r>
            <w:r w:rsidR="00CD6B54">
              <w:rPr>
                <w:lang w:val="en-US"/>
              </w:rPr>
              <w:t>,</w:t>
            </w:r>
            <w:r>
              <w:t>000</w:t>
            </w:r>
            <w:r w:rsidR="00CD6B54">
              <w:rPr>
                <w:lang w:val="en-US"/>
              </w:rPr>
              <w:t>,</w:t>
            </w:r>
            <w:r>
              <w:t>000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2</w:t>
            </w:r>
          </w:p>
        </w:tc>
        <w:tc>
          <w:tcPr>
            <w:tcW w:w="629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Customer perspective</w:t>
            </w:r>
          </w:p>
        </w:tc>
        <w:tc>
          <w:tcPr>
            <w:tcW w:w="93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Improve customer experience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dissatisfied customers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2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  <w:r>
              <w:t>Develop new methods for studying customer satisfaction</w:t>
            </w: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Build lasting relationships with customers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Number of return customers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 w:val="restar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return customers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30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Attract customers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Number of customers attracted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 w:val="restart"/>
          </w:tcPr>
          <w:p w:rsidR="00E302DD" w:rsidRDefault="00550670">
            <w:pPr>
              <w:pStyle w:val="Tabletext"/>
              <w:spacing w:after="100"/>
              <w:rPr>
                <w:lang w:val="en-US"/>
              </w:rPr>
            </w:pPr>
            <w:r>
              <w:t>Develop new methods for studying customer satisfaction</w:t>
            </w:r>
          </w:p>
          <w:p w:rsidR="00E302DD" w:rsidRDefault="00550670">
            <w:pPr>
              <w:pStyle w:val="Tabletext"/>
              <w:spacing w:after="100"/>
              <w:rPr>
                <w:lang w:val="en-US"/>
              </w:rPr>
            </w:pPr>
            <w:r>
              <w:t>Create a network of representatives by region</w:t>
            </w: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Cost of attracting one customer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EUR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</w:t>
            </w:r>
            <w:r w:rsidR="00CD6B54">
              <w:rPr>
                <w:lang w:val="en-US"/>
              </w:rPr>
              <w:t>,</w:t>
            </w:r>
            <w:r>
              <w:t>700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3</w:t>
            </w:r>
          </w:p>
        </w:tc>
        <w:tc>
          <w:tcPr>
            <w:tcW w:w="629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Internal process perspective</w:t>
            </w:r>
          </w:p>
        </w:tc>
        <w:tc>
          <w:tcPr>
            <w:tcW w:w="934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Deliver materials and tools on time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overrun rate for tool delivery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6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 w:val="restar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overrun rate for materials delivery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7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Improve oversight of construction and installation operations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issues brought to the contractor's attention in timely fashion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100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 w:val="restar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customer complaints relating to verified work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5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planned inspections carried out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100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 xml:space="preserve">Purchase high-quality materials </w:t>
            </w:r>
            <w:r>
              <w:lastRenderedPageBreak/>
              <w:t>and tools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lastRenderedPageBreak/>
              <w:t>Instrument purchase failure rate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4.5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 w:val="restar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Material assets failure rate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5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Purchase failure rate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2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Improve quality of project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Number of warranty cases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5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Complete project on time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work subcontracted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50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 w:val="restar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projects completed on time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100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Plan projects accurately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applications (requests for materials and tools) submitted on time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100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 w:val="restart"/>
          </w:tcPr>
          <w:p w:rsidR="00E302DD" w:rsidRDefault="00550670">
            <w:pPr>
              <w:pStyle w:val="Tabletext"/>
              <w:spacing w:after="100"/>
              <w:rPr>
                <w:lang w:val="en-US"/>
              </w:rPr>
            </w:pPr>
            <w:r>
              <w:t>Develop a staff training program</w:t>
            </w:r>
          </w:p>
          <w:p w:rsidR="00E302DD" w:rsidRDefault="00550670">
            <w:pPr>
              <w:pStyle w:val="Tabletext"/>
              <w:spacing w:after="100"/>
              <w:rPr>
                <w:lang w:val="en-US"/>
              </w:rPr>
            </w:pPr>
            <w:r>
              <w:t>Develop new project planning methods</w:t>
            </w: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Avg deviation from project budget, %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Optimize stocks of inventories and tools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stocks scheduled for issue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  <w:r>
              <w:t>Develop a plan of measures to optimize inventory reserves</w:t>
            </w:r>
          </w:p>
        </w:tc>
      </w:tr>
      <w:tr w:rsidR="006759D1" w:rsidRPr="00F64499" w:rsidTr="00280C98">
        <w:tc>
          <w:tcPr>
            <w:tcW w:w="166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4</w:t>
            </w:r>
          </w:p>
        </w:tc>
        <w:tc>
          <w:tcPr>
            <w:tcW w:w="629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Learning and growth perspective</w:t>
            </w:r>
          </w:p>
        </w:tc>
        <w:tc>
          <w:tcPr>
            <w:tcW w:w="934" w:type="pct"/>
            <w:vMerge w:val="restar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Improve knowledge and skills of employees</w:t>
            </w: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Number of training programs (events)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3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 w:val="restart"/>
          </w:tcPr>
          <w:p w:rsidR="00E302DD" w:rsidRDefault="00550670">
            <w:pPr>
              <w:pStyle w:val="Tabletext"/>
              <w:spacing w:after="100"/>
              <w:rPr>
                <w:lang w:val="en-US"/>
              </w:rPr>
            </w:pPr>
            <w:r>
              <w:t>Develop a staff training program</w:t>
            </w:r>
          </w:p>
          <w:p w:rsidR="00E302DD" w:rsidRDefault="00550670">
            <w:pPr>
              <w:pStyle w:val="Tabletext"/>
              <w:spacing w:after="100"/>
              <w:rPr>
                <w:lang w:val="en-US"/>
              </w:rPr>
            </w:pPr>
            <w:r>
              <w:t>Develop new project planning methods</w:t>
            </w: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Percentage of employees with qualifications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%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100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tr w:rsidR="006759D1" w:rsidRPr="00F64499" w:rsidTr="00280C98">
        <w:tc>
          <w:tcPr>
            <w:tcW w:w="166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bookmarkStart w:id="1" w:name="Balanced_Scorecard_d36bb157"/>
            <w:bookmarkEnd w:id="1"/>
          </w:p>
        </w:tc>
        <w:tc>
          <w:tcPr>
            <w:tcW w:w="629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934" w:type="pct"/>
            <w:vMerge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</w:p>
        </w:tc>
        <w:tc>
          <w:tcPr>
            <w:tcW w:w="103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Employee training costs</w:t>
            </w:r>
          </w:p>
        </w:tc>
        <w:tc>
          <w:tcPr>
            <w:tcW w:w="412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EUR</w:t>
            </w:r>
          </w:p>
        </w:tc>
        <w:tc>
          <w:tcPr>
            <w:tcW w:w="471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100</w:t>
            </w:r>
            <w:r w:rsidR="00CD6B54">
              <w:rPr>
                <w:lang w:val="en-US"/>
              </w:rPr>
              <w:t>,</w:t>
            </w:r>
            <w:bookmarkStart w:id="2" w:name="_GoBack"/>
            <w:bookmarkEnd w:id="2"/>
            <w:r>
              <w:t>000</w:t>
            </w:r>
          </w:p>
        </w:tc>
        <w:tc>
          <w:tcPr>
            <w:tcW w:w="394" w:type="pct"/>
          </w:tcPr>
          <w:p w:rsidR="006759D1" w:rsidRPr="00F64499" w:rsidRDefault="006759D1" w:rsidP="00AC21E7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963" w:type="pct"/>
            <w:vMerge/>
          </w:tcPr>
          <w:p w:rsidR="006759D1" w:rsidRPr="00F64499" w:rsidRDefault="006759D1" w:rsidP="00986616">
            <w:pPr>
              <w:pStyle w:val="Tabletext"/>
              <w:spacing w:after="100"/>
              <w:rPr>
                <w:lang w:val="en-US"/>
              </w:rPr>
            </w:pPr>
          </w:p>
        </w:tc>
      </w:tr>
      <w:bookmarkEnd w:id="0"/>
    </w:tbl>
    <w:p w:rsidR="007A48C8" w:rsidRPr="00F64499" w:rsidRDefault="007A48C8" w:rsidP="00AC21E7">
      <w:pPr>
        <w:pStyle w:val="NormalReport"/>
        <w:rPr>
          <w:lang w:val="en-US"/>
        </w:rPr>
      </w:pPr>
    </w:p>
    <w:p w:rsidR="00F30F1A" w:rsidRPr="00F64499" w:rsidRDefault="00A76EC0" w:rsidP="00FA74FF">
      <w:pPr>
        <w:pStyle w:val="Heading4"/>
        <w:rPr>
          <w:lang w:val="en-US"/>
        </w:rPr>
      </w:pPr>
      <w:r w:rsidRPr="00F64499">
        <w:rPr>
          <w:lang w:val="en-US"/>
        </w:rPr>
        <w:lastRenderedPageBreak/>
        <w:t>Strategy Map</w:t>
      </w:r>
    </w:p>
    <w:tbl>
      <w:tblPr>
        <w:tblW w:w="4925" w:type="pct"/>
        <w:jc w:val="center"/>
        <w:tblLook w:val="01E0" w:firstRow="1" w:lastRow="1" w:firstColumn="1" w:lastColumn="1" w:noHBand="0" w:noVBand="0"/>
      </w:tblPr>
      <w:tblGrid>
        <w:gridCol w:w="15122"/>
      </w:tblGrid>
      <w:tr w:rsidR="007A48C8" w:rsidRPr="00F64499">
        <w:trPr>
          <w:cantSplit/>
          <w:trHeight w:val="8795"/>
          <w:jc w:val="center"/>
        </w:trPr>
        <w:tc>
          <w:tcPr>
            <w:tcW w:w="14564" w:type="dxa"/>
          </w:tcPr>
          <w:p w:rsidR="007A48C8" w:rsidRPr="00F64499" w:rsidRDefault="00550670" w:rsidP="00B82E6D">
            <w:pPr>
              <w:pStyle w:val="Tabletext"/>
              <w:spacing w:before="0" w:after="0"/>
              <w:jc w:val="center"/>
              <w:rPr>
                <w:lang w:val="en-US"/>
              </w:rPr>
            </w:pPr>
            <w:bookmarkStart w:id="3" w:name="Diagram_cbd94be5"/>
            <w:bookmarkEnd w:id="3"/>
            <w:r>
              <w:rPr>
                <w:noProof/>
              </w:rPr>
              <w:drawing>
                <wp:inline distT="0" distB="0" distL="0" distR="0">
                  <wp:extent cx="6946900" cy="554990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0" cy="554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DFE" w:rsidRPr="00F64499" w:rsidRDefault="00106DFE" w:rsidP="00AC21E7">
      <w:pPr>
        <w:pStyle w:val="NormalReport"/>
        <w:rPr>
          <w:sz w:val="2"/>
          <w:szCs w:val="2"/>
          <w:lang w:val="en-US"/>
        </w:rPr>
      </w:pPr>
    </w:p>
    <w:sectPr w:rsidR="00106DFE" w:rsidRPr="00F64499" w:rsidSect="00280C98">
      <w:headerReference w:type="default" r:id="rId8"/>
      <w:footerReference w:type="default" r:id="rId9"/>
      <w:pgSz w:w="16838" w:h="11906" w:orient="landscape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54" w:rsidRDefault="00CD6B54">
      <w:r>
        <w:separator/>
      </w:r>
    </w:p>
  </w:endnote>
  <w:endnote w:type="continuationSeparator" w:id="0">
    <w:p w:rsidR="00CD6B54" w:rsidRDefault="00CD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11824"/>
      <w:gridCol w:w="3528"/>
    </w:tblGrid>
    <w:tr w:rsidR="00D604B1" w:rsidRPr="005F19D6">
      <w:tc>
        <w:tcPr>
          <w:tcW w:w="3851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D604B1" w:rsidRPr="005F19D6" w:rsidRDefault="00CB1761" w:rsidP="00280C98">
          <w:pPr>
            <w:pStyle w:val="Footer"/>
            <w:spacing w:after="0"/>
          </w:pPr>
          <w:fldSimple w:instr=" STYLEREF  &quot;Document name&quot;  \* MERGEFORMAT ">
            <w:r w:rsidR="00550670">
              <w:t>Organizational strategy map</w:t>
            </w:r>
          </w:fldSimple>
          <w:r w:rsidR="00D604B1" w:rsidRPr="00D1016F">
            <w:rPr>
              <w:bCs/>
            </w:rPr>
            <w:t>.</w:t>
          </w:r>
          <w:r w:rsidR="00D604B1" w:rsidRPr="005F19D6">
            <w:t xml:space="preserve"> </w:t>
          </w:r>
          <w:fldSimple w:instr=" STYLEREF  &quot;Document type&quot;  \* MERGEFORMAT ">
            <w:r w:rsidR="00550670">
              <w:t>Strategy Map</w:t>
            </w:r>
          </w:fldSimple>
        </w:p>
      </w:tc>
      <w:tc>
        <w:tcPr>
          <w:tcW w:w="1149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D604B1" w:rsidRPr="005F19D6" w:rsidRDefault="00CD5AAD" w:rsidP="00FA3D88">
          <w:pPr>
            <w:pStyle w:val="Footer"/>
            <w:jc w:val="right"/>
          </w:pPr>
          <w:r>
            <w:rPr>
              <w:lang w:val="en-US"/>
            </w:rPr>
            <w:t>Page</w:t>
          </w:r>
          <w:r w:rsidR="00D604B1" w:rsidRPr="005F19D6">
            <w:t xml:space="preserve"> </w:t>
          </w:r>
          <w:r w:rsidR="00D604B1" w:rsidRPr="005F19D6">
            <w:fldChar w:fldCharType="begin"/>
          </w:r>
          <w:r w:rsidR="00D604B1" w:rsidRPr="005F19D6">
            <w:instrText xml:space="preserve"> PAGE </w:instrText>
          </w:r>
          <w:r w:rsidR="00D604B1" w:rsidRPr="005F19D6">
            <w:fldChar w:fldCharType="separate"/>
          </w:r>
          <w:r w:rsidR="007E0C9B">
            <w:t>2</w:t>
          </w:r>
          <w:r w:rsidR="00D604B1" w:rsidRPr="005F19D6">
            <w:fldChar w:fldCharType="end"/>
          </w:r>
          <w:r>
            <w:t xml:space="preserve"> </w:t>
          </w:r>
          <w:r>
            <w:rPr>
              <w:lang w:val="en-US"/>
            </w:rPr>
            <w:t>of</w:t>
          </w:r>
          <w:r w:rsidR="00D604B1" w:rsidRPr="005F19D6">
            <w:t xml:space="preserve"> </w:t>
          </w:r>
          <w:r w:rsidR="00D604B1" w:rsidRPr="005F19D6">
            <w:fldChar w:fldCharType="begin"/>
          </w:r>
          <w:r w:rsidR="00D604B1" w:rsidRPr="005F19D6">
            <w:instrText xml:space="preserve"> NUMPAGES </w:instrText>
          </w:r>
          <w:r w:rsidR="00D604B1" w:rsidRPr="005F19D6">
            <w:fldChar w:fldCharType="separate"/>
          </w:r>
          <w:r w:rsidR="007E0C9B">
            <w:t>2</w:t>
          </w:r>
          <w:r w:rsidR="00D604B1" w:rsidRPr="005F19D6">
            <w:fldChar w:fldCharType="end"/>
          </w:r>
        </w:p>
      </w:tc>
    </w:tr>
  </w:tbl>
  <w:p w:rsidR="00D604B1" w:rsidRPr="00280C98" w:rsidRDefault="00D604B1" w:rsidP="00280C98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54" w:rsidRDefault="00CD6B54">
      <w:r>
        <w:separator/>
      </w:r>
    </w:p>
  </w:footnote>
  <w:footnote w:type="continuationSeparator" w:id="0">
    <w:p w:rsidR="00CD6B54" w:rsidRDefault="00CD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DF" w:rsidRDefault="004E6CDF" w:rsidP="004E6CDF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526b77ef-198b-47d8-8742-772d72eb71a7"/>
    <w:docVar w:name="BSPortal" w:val="False"/>
    <w:docVar w:name="BSTemplateGUID" w:val="6d54d849-b571-43ad-8f9d-9950dafed45e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Name_of_strategic_map_13c0cd5d" w:val="Organizational strategy map"/>
  </w:docVars>
  <w:rsids>
    <w:rsidRoot w:val="002F1689"/>
    <w:rsid w:val="000274D8"/>
    <w:rsid w:val="0006261C"/>
    <w:rsid w:val="000B488E"/>
    <w:rsid w:val="000B7273"/>
    <w:rsid w:val="00106DFE"/>
    <w:rsid w:val="001319E5"/>
    <w:rsid w:val="001672B7"/>
    <w:rsid w:val="00183DE5"/>
    <w:rsid w:val="001A5363"/>
    <w:rsid w:val="001B3553"/>
    <w:rsid w:val="001D2647"/>
    <w:rsid w:val="00243EAD"/>
    <w:rsid w:val="00251F37"/>
    <w:rsid w:val="002661A0"/>
    <w:rsid w:val="00266532"/>
    <w:rsid w:val="002669C6"/>
    <w:rsid w:val="00280C98"/>
    <w:rsid w:val="002C2F3B"/>
    <w:rsid w:val="002F1689"/>
    <w:rsid w:val="00374013"/>
    <w:rsid w:val="00401F05"/>
    <w:rsid w:val="00445AFC"/>
    <w:rsid w:val="004643D9"/>
    <w:rsid w:val="00466E40"/>
    <w:rsid w:val="004A5B69"/>
    <w:rsid w:val="004E6CDF"/>
    <w:rsid w:val="00550670"/>
    <w:rsid w:val="005D4E95"/>
    <w:rsid w:val="005E5C66"/>
    <w:rsid w:val="005F19D6"/>
    <w:rsid w:val="00635D37"/>
    <w:rsid w:val="00671957"/>
    <w:rsid w:val="006759D1"/>
    <w:rsid w:val="0068509F"/>
    <w:rsid w:val="006E044E"/>
    <w:rsid w:val="00706C8E"/>
    <w:rsid w:val="0075063A"/>
    <w:rsid w:val="00776E12"/>
    <w:rsid w:val="007A48C8"/>
    <w:rsid w:val="007B2370"/>
    <w:rsid w:val="007B425B"/>
    <w:rsid w:val="007C2EAE"/>
    <w:rsid w:val="007E0C9B"/>
    <w:rsid w:val="00843F49"/>
    <w:rsid w:val="00846456"/>
    <w:rsid w:val="00852289"/>
    <w:rsid w:val="008B6152"/>
    <w:rsid w:val="008C6908"/>
    <w:rsid w:val="008E0085"/>
    <w:rsid w:val="00901C8B"/>
    <w:rsid w:val="009221ED"/>
    <w:rsid w:val="009322B1"/>
    <w:rsid w:val="00986616"/>
    <w:rsid w:val="009A4334"/>
    <w:rsid w:val="00A76EC0"/>
    <w:rsid w:val="00A821AC"/>
    <w:rsid w:val="00AA474B"/>
    <w:rsid w:val="00AC21E7"/>
    <w:rsid w:val="00AC5052"/>
    <w:rsid w:val="00AF3999"/>
    <w:rsid w:val="00B04268"/>
    <w:rsid w:val="00B82E6D"/>
    <w:rsid w:val="00BF107B"/>
    <w:rsid w:val="00C669F8"/>
    <w:rsid w:val="00CA019A"/>
    <w:rsid w:val="00CB1761"/>
    <w:rsid w:val="00CD5AAD"/>
    <w:rsid w:val="00CD6B54"/>
    <w:rsid w:val="00D1016F"/>
    <w:rsid w:val="00D15023"/>
    <w:rsid w:val="00D604B1"/>
    <w:rsid w:val="00DA56AA"/>
    <w:rsid w:val="00DB0419"/>
    <w:rsid w:val="00DC2952"/>
    <w:rsid w:val="00DC42F2"/>
    <w:rsid w:val="00E17B02"/>
    <w:rsid w:val="00E302DD"/>
    <w:rsid w:val="00E3469D"/>
    <w:rsid w:val="00E464AD"/>
    <w:rsid w:val="00E859A7"/>
    <w:rsid w:val="00EB0BFE"/>
    <w:rsid w:val="00EB23FF"/>
    <w:rsid w:val="00F04BD5"/>
    <w:rsid w:val="00F30F1A"/>
    <w:rsid w:val="00F34BA6"/>
    <w:rsid w:val="00F64499"/>
    <w:rsid w:val="00FA0085"/>
    <w:rsid w:val="00FA3D88"/>
    <w:rsid w:val="00FA74FF"/>
    <w:rsid w:val="00FD163D"/>
    <w:rsid w:val="00FE3B40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961C0"/>
  <w15:docId w15:val="{9C3E67B2-901A-4DB5-ABEA-93C433DD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21E7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AC21E7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AC21E7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AC21E7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Heading4">
    <w:name w:val="heading 4"/>
    <w:basedOn w:val="Normal"/>
    <w:next w:val="Normal"/>
    <w:qFormat/>
    <w:rsid w:val="00FA74FF"/>
    <w:pPr>
      <w:keepNext/>
      <w:tabs>
        <w:tab w:val="left" w:pos="0"/>
      </w:tabs>
      <w:spacing w:before="120"/>
      <w:ind w:left="0"/>
      <w:jc w:val="left"/>
      <w:outlineLvl w:val="3"/>
    </w:pPr>
    <w:rPr>
      <w:b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21E7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character" w:styleId="Hyperlink">
    <w:name w:val="Hyperlink"/>
    <w:rsid w:val="00AC21E7"/>
    <w:rPr>
      <w:color w:val="0000FF"/>
      <w:u w:val="single"/>
    </w:rPr>
  </w:style>
  <w:style w:type="paragraph" w:customStyle="1" w:styleId="Tabledata">
    <w:name w:val="Table data"/>
    <w:basedOn w:val="Normal"/>
    <w:rsid w:val="00AC21E7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AC21E7"/>
    <w:pPr>
      <w:numPr>
        <w:numId w:val="0"/>
      </w:numPr>
    </w:pPr>
    <w:rPr>
      <w:rFonts w:cs="Times New Roman"/>
      <w:szCs w:val="20"/>
    </w:rPr>
  </w:style>
  <w:style w:type="paragraph" w:customStyle="1" w:styleId="Header2unnumbered">
    <w:name w:val="Header 2 unnumbered"/>
    <w:basedOn w:val="Heading2"/>
    <w:next w:val="Normal"/>
    <w:rsid w:val="00AC21E7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AC21E7"/>
    <w:pPr>
      <w:tabs>
        <w:tab w:val="clear" w:pos="720"/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AC21E7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C21E7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F3999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AC21E7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AC21E7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Char"/>
    <w:rsid w:val="00AC21E7"/>
    <w:pPr>
      <w:ind w:left="0"/>
    </w:pPr>
  </w:style>
  <w:style w:type="character" w:customStyle="1" w:styleId="NormalReportChar">
    <w:name w:val="Normal (Report) Char"/>
    <w:link w:val="NormalReport"/>
    <w:rsid w:val="00AC21E7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AC21E7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AC21E7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C21E7"/>
    <w:pPr>
      <w:ind w:left="440"/>
    </w:pPr>
  </w:style>
  <w:style w:type="paragraph" w:customStyle="1" w:styleId="Contents">
    <w:name w:val="Contents"/>
    <w:next w:val="Normal"/>
    <w:rsid w:val="00AC21E7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AC21E7"/>
    <w:pPr>
      <w:numPr>
        <w:numId w:val="3"/>
      </w:numPr>
    </w:pPr>
  </w:style>
  <w:style w:type="numbering" w:customStyle="1" w:styleId="Numberedstyle-Doc">
    <w:name w:val="Numbered style - Doc"/>
    <w:basedOn w:val="NoList"/>
    <w:rsid w:val="00AC21E7"/>
    <w:pPr>
      <w:numPr>
        <w:numId w:val="5"/>
      </w:numPr>
    </w:pPr>
  </w:style>
  <w:style w:type="paragraph" w:styleId="BalloonText">
    <w:name w:val="Balloon Text"/>
    <w:basedOn w:val="Normal"/>
    <w:semiHidden/>
    <w:rsid w:val="00AC21E7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C21E7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C21E7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C21E7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C21E7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C21E7"/>
    <w:pPr>
      <w:ind w:left="5220"/>
    </w:pPr>
  </w:style>
  <w:style w:type="paragraph" w:styleId="NormalWeb">
    <w:name w:val="Normal (Web)"/>
    <w:basedOn w:val="Normal"/>
    <w:rsid w:val="0075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384</Words>
  <Characters>2253</Characters>
  <Application>Microsoft Office Word</Application>
  <DocSecurity>0</DocSecurity>
  <Lines>281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Strategy Map Organizational strategy map</vt:lpstr>
      <vt:lpstr>Отчет</vt:lpstr>
    </vt:vector>
  </TitlesOfParts>
  <Company>None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Map Organizational strategy map</dc:title>
  <dc:subject>'Organizational strategy map'</dc:subject>
  <dc:creator>ГК СТУ</dc:creator>
  <cp:keywords>Business Studio</cp:keywords>
  <dc:description/>
  <cp:lastModifiedBy>Анна Пинаева</cp:lastModifiedBy>
  <cp:revision>1</cp:revision>
  <dcterms:created xsi:type="dcterms:W3CDTF">2022-03-21T09:52:00Z</dcterms:created>
  <dcterms:modified xsi:type="dcterms:W3CDTF">2022-03-21T10:07:00Z</dcterms:modified>
</cp:coreProperties>
</file>